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1ABEB">
      <w:pPr>
        <w:jc w:val="center"/>
        <w:outlineLvl w:val="0"/>
        <w:rPr>
          <w:rFonts w:hint="eastAsia" w:ascii="方正小标宋简体" w:hAnsi="宋体" w:eastAsia="方正小标宋简体"/>
          <w:sz w:val="40"/>
          <w:szCs w:val="40"/>
          <w:lang w:val="en"/>
        </w:rPr>
      </w:pPr>
      <w:bookmarkStart w:id="0" w:name="_GoBack"/>
      <w:bookmarkEnd w:id="0"/>
      <w:r>
        <w:rPr>
          <w:rFonts w:hint="eastAsia" w:ascii="方正小标宋简体" w:hAnsi="宋体" w:eastAsia="方正小标宋简体"/>
          <w:sz w:val="40"/>
          <w:szCs w:val="40"/>
          <w:lang w:val="en" w:eastAsia="zh-CN"/>
        </w:rPr>
        <w:t>“皖工鹊桥·会聚良缘”单身职工婚恋交友活动</w:t>
      </w:r>
      <w:r>
        <w:rPr>
          <w:rFonts w:hint="eastAsia" w:ascii="方正小标宋简体" w:hAnsi="宋体" w:eastAsia="方正小标宋简体"/>
          <w:sz w:val="40"/>
          <w:szCs w:val="40"/>
          <w:lang w:val="en"/>
        </w:rPr>
        <w:t>综合评</w:t>
      </w:r>
      <w:r>
        <w:rPr>
          <w:rFonts w:hint="eastAsia" w:ascii="方正小标宋简体" w:hAnsi="宋体" w:eastAsia="方正小标宋简体"/>
          <w:sz w:val="40"/>
          <w:szCs w:val="40"/>
          <w:lang w:val="en" w:eastAsia="zh-CN"/>
        </w:rPr>
        <w:t>分</w:t>
      </w:r>
      <w:r>
        <w:rPr>
          <w:rFonts w:hint="eastAsia" w:ascii="方正小标宋简体" w:hAnsi="宋体" w:eastAsia="方正小标宋简体"/>
          <w:sz w:val="40"/>
          <w:szCs w:val="40"/>
          <w:lang w:val="en"/>
        </w:rPr>
        <w:t>表</w:t>
      </w:r>
    </w:p>
    <w:tbl>
      <w:tblPr>
        <w:tblStyle w:val="3"/>
        <w:tblpPr w:leftFromText="180" w:rightFromText="180" w:vertAnchor="page" w:horzAnchor="page" w:tblpX="1506" w:tblpY="28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140"/>
        <w:gridCol w:w="10620"/>
      </w:tblGrid>
      <w:tr w14:paraId="49A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14:paraId="65A0FAFB">
            <w:pPr>
              <w:spacing w:line="720" w:lineRule="auto"/>
              <w:jc w:val="center"/>
              <w:rPr>
                <w:sz w:val="28"/>
                <w:szCs w:val="36"/>
                <w:lang w:val="en"/>
              </w:rPr>
            </w:pPr>
            <w:r>
              <w:rPr>
                <w:sz w:val="28"/>
                <w:szCs w:val="36"/>
                <w:lang w:val="en"/>
              </w:rPr>
              <w:t>评审项目</w:t>
            </w:r>
          </w:p>
        </w:tc>
        <w:tc>
          <w:tcPr>
            <w:tcW w:w="1140" w:type="dxa"/>
            <w:noWrap w:val="0"/>
            <w:vAlign w:val="center"/>
          </w:tcPr>
          <w:p w14:paraId="5FA2BAA8">
            <w:pPr>
              <w:spacing w:line="720" w:lineRule="auto"/>
              <w:jc w:val="center"/>
              <w:rPr>
                <w:sz w:val="28"/>
                <w:szCs w:val="36"/>
                <w:lang w:val="en"/>
              </w:rPr>
            </w:pPr>
            <w:r>
              <w:rPr>
                <w:sz w:val="28"/>
                <w:szCs w:val="36"/>
                <w:lang w:val="en"/>
              </w:rPr>
              <w:t>分值</w:t>
            </w:r>
          </w:p>
        </w:tc>
        <w:tc>
          <w:tcPr>
            <w:tcW w:w="10620" w:type="dxa"/>
            <w:noWrap w:val="0"/>
            <w:vAlign w:val="center"/>
          </w:tcPr>
          <w:p w14:paraId="7BEBAE2F">
            <w:pPr>
              <w:spacing w:line="720" w:lineRule="auto"/>
              <w:jc w:val="center"/>
              <w:rPr>
                <w:sz w:val="28"/>
                <w:szCs w:val="36"/>
                <w:lang w:val="en"/>
              </w:rPr>
            </w:pPr>
            <w:r>
              <w:rPr>
                <w:sz w:val="28"/>
                <w:szCs w:val="36"/>
                <w:lang w:val="en"/>
              </w:rPr>
              <w:t>计分标准及依据</w:t>
            </w:r>
          </w:p>
        </w:tc>
      </w:tr>
      <w:tr w14:paraId="6A88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14:paraId="4B0E503A">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活动</w:t>
            </w:r>
          </w:p>
          <w:p w14:paraId="6230C136">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策划</w:t>
            </w:r>
          </w:p>
        </w:tc>
        <w:tc>
          <w:tcPr>
            <w:tcW w:w="1140" w:type="dxa"/>
            <w:noWrap w:val="0"/>
            <w:vAlign w:val="center"/>
          </w:tcPr>
          <w:p w14:paraId="423D4359">
            <w:pPr>
              <w:spacing w:line="720" w:lineRule="auto"/>
              <w:jc w:val="center"/>
              <w:rPr>
                <w:rFonts w:hint="default" w:ascii="Nimbus Roman No9 L" w:hAnsi="Nimbus Roman No9 L" w:eastAsia="仿宋_GB2312" w:cs="Nimbus Roman No9 L"/>
                <w:sz w:val="28"/>
                <w:szCs w:val="36"/>
              </w:rPr>
            </w:pPr>
            <w:r>
              <w:rPr>
                <w:rFonts w:hint="default" w:ascii="Nimbus Roman No9 L" w:hAnsi="Nimbus Roman No9 L" w:eastAsia="仿宋_GB2312" w:cs="Nimbus Roman No9 L"/>
                <w:sz w:val="28"/>
                <w:szCs w:val="36"/>
              </w:rPr>
              <w:t>40</w:t>
            </w:r>
          </w:p>
        </w:tc>
        <w:tc>
          <w:tcPr>
            <w:tcW w:w="10620" w:type="dxa"/>
            <w:noWrap w:val="0"/>
            <w:vAlign w:val="top"/>
          </w:tcPr>
          <w:p w14:paraId="44420C2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满足采购项目需求程度和合理性，根据投标人提供的活动策划方案进行评比：</w:t>
            </w:r>
          </w:p>
          <w:p w14:paraId="1C7C41C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1.方案完整、合理，思路清晰，有相应的应急举措；方案策划亮点突出，配套活动丰富新颖，活动内容积极向上，能充分调动职工积极性，参与度高得</w:t>
            </w:r>
            <w:r>
              <w:rPr>
                <w:rFonts w:hint="default" w:ascii="Nimbus Roman No9 L" w:hAnsi="Nimbus Roman No9 L" w:eastAsia="方正仿宋_GBK" w:cs="Nimbus Roman No9 L"/>
                <w:sz w:val="28"/>
                <w:szCs w:val="36"/>
                <w:lang w:val="en-US" w:eastAsia="zh-CN"/>
              </w:rPr>
              <w:t>30—40</w:t>
            </w:r>
            <w:r>
              <w:rPr>
                <w:rFonts w:hint="default" w:ascii="Nimbus Roman No9 L" w:hAnsi="Nimbus Roman No9 L" w:eastAsia="方正仿宋_GBK" w:cs="Nimbus Roman No9 L"/>
                <w:sz w:val="28"/>
                <w:szCs w:val="36"/>
                <w:lang w:val="en" w:eastAsia="zh-CN"/>
              </w:rPr>
              <w:t>分；</w:t>
            </w:r>
          </w:p>
          <w:p w14:paraId="223C8D4B">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2.方案相对完整、合理，思路清晰，有相应的应急举措；配套活动相对充足，基本能调动参与职工积极性得</w:t>
            </w:r>
            <w:r>
              <w:rPr>
                <w:rFonts w:hint="default" w:ascii="Nimbus Roman No9 L" w:hAnsi="Nimbus Roman No9 L" w:eastAsia="方正仿宋_GBK" w:cs="Nimbus Roman No9 L"/>
                <w:sz w:val="28"/>
                <w:szCs w:val="36"/>
                <w:lang w:val="en-US" w:eastAsia="zh-CN"/>
              </w:rPr>
              <w:t>20—</w:t>
            </w:r>
            <w:r>
              <w:rPr>
                <w:rFonts w:hint="default" w:ascii="Nimbus Roman No9 L" w:hAnsi="Nimbus Roman No9 L" w:eastAsia="方正仿宋_GBK" w:cs="Nimbus Roman No9 L"/>
                <w:sz w:val="28"/>
                <w:szCs w:val="36"/>
                <w:lang w:val="en" w:eastAsia="zh-CN"/>
              </w:rPr>
              <w:t>30分；</w:t>
            </w:r>
          </w:p>
          <w:p w14:paraId="5700BB0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3.方案相对完整、合理，思路较为清晰，有配套活动得</w:t>
            </w:r>
            <w:r>
              <w:rPr>
                <w:rFonts w:hint="default" w:ascii="Nimbus Roman No9 L" w:hAnsi="Nimbus Roman No9 L" w:eastAsia="方正仿宋_GBK" w:cs="Nimbus Roman No9 L"/>
                <w:sz w:val="28"/>
                <w:szCs w:val="36"/>
                <w:lang w:val="en-US" w:eastAsia="zh-CN"/>
              </w:rPr>
              <w:t>10—</w:t>
            </w:r>
            <w:r>
              <w:rPr>
                <w:rFonts w:hint="default" w:ascii="Nimbus Roman No9 L" w:hAnsi="Nimbus Roman No9 L" w:eastAsia="方正仿宋_GBK" w:cs="Nimbus Roman No9 L"/>
                <w:sz w:val="28"/>
                <w:szCs w:val="36"/>
                <w:lang w:val="en" w:eastAsia="zh-CN"/>
              </w:rPr>
              <w:t>20分；</w:t>
            </w:r>
          </w:p>
          <w:p w14:paraId="73CACB0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仿宋_GB2312" w:cs="Nimbus Roman No9 L"/>
                <w:sz w:val="28"/>
                <w:szCs w:val="36"/>
              </w:rPr>
            </w:pPr>
            <w:r>
              <w:rPr>
                <w:rFonts w:hint="default" w:ascii="Nimbus Roman No9 L" w:hAnsi="Nimbus Roman No9 L" w:eastAsia="方正仿宋_GBK" w:cs="Nimbus Roman No9 L"/>
                <w:sz w:val="28"/>
                <w:szCs w:val="36"/>
                <w:lang w:val="en" w:eastAsia="zh-CN"/>
              </w:rPr>
              <w:t>4.未提供相应内容的不得分。</w:t>
            </w:r>
          </w:p>
        </w:tc>
      </w:tr>
      <w:tr w14:paraId="6DB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14:paraId="5225C727">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场地</w:t>
            </w:r>
          </w:p>
          <w:p w14:paraId="6AA4CFF4">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布置</w:t>
            </w:r>
          </w:p>
        </w:tc>
        <w:tc>
          <w:tcPr>
            <w:tcW w:w="1140" w:type="dxa"/>
            <w:noWrap w:val="0"/>
            <w:vAlign w:val="center"/>
          </w:tcPr>
          <w:p w14:paraId="51CA6FFA">
            <w:pPr>
              <w:spacing w:line="720" w:lineRule="auto"/>
              <w:jc w:val="center"/>
              <w:rPr>
                <w:rFonts w:hint="default" w:ascii="Nimbus Roman No9 L" w:hAnsi="Nimbus Roman No9 L" w:eastAsia="仿宋_GB2312" w:cs="Nimbus Roman No9 L"/>
                <w:sz w:val="28"/>
                <w:szCs w:val="36"/>
              </w:rPr>
            </w:pPr>
            <w:r>
              <w:rPr>
                <w:rFonts w:hint="default" w:ascii="Nimbus Roman No9 L" w:hAnsi="Nimbus Roman No9 L" w:eastAsia="仿宋_GB2312" w:cs="Nimbus Roman No9 L"/>
                <w:sz w:val="28"/>
                <w:szCs w:val="36"/>
              </w:rPr>
              <w:t>35</w:t>
            </w:r>
          </w:p>
        </w:tc>
        <w:tc>
          <w:tcPr>
            <w:tcW w:w="10620" w:type="dxa"/>
            <w:noWrap w:val="0"/>
            <w:vAlign w:val="top"/>
          </w:tcPr>
          <w:p w14:paraId="206390B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满足采购项目需求程度和合理性，根据投标人的场地布置方案进行评比：</w:t>
            </w:r>
          </w:p>
          <w:p w14:paraId="3DCA023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仿宋_GB2312" w:cs="Nimbus Roman No9 L"/>
                <w:sz w:val="28"/>
                <w:szCs w:val="36"/>
              </w:rPr>
            </w:pPr>
            <w:r>
              <w:rPr>
                <w:rFonts w:hint="default" w:ascii="Nimbus Roman No9 L" w:hAnsi="Nimbus Roman No9 L" w:eastAsia="方正仿宋_GBK" w:cs="Nimbus Roman No9 L"/>
                <w:sz w:val="28"/>
                <w:szCs w:val="36"/>
                <w:lang w:val="en" w:eastAsia="zh-CN"/>
              </w:rPr>
              <w:t>1.场地选择方便职工前往或提供车辆统一前往，活动场地（不限室内外）能容纳</w:t>
            </w:r>
            <w:r>
              <w:rPr>
                <w:rFonts w:hint="default" w:ascii="Nimbus Roman No9 L" w:hAnsi="Nimbus Roman No9 L" w:eastAsia="方正仿宋_GBK" w:cs="Nimbus Roman No9 L"/>
                <w:sz w:val="28"/>
                <w:szCs w:val="36"/>
                <w:lang w:val="en-US" w:eastAsia="zh-CN"/>
              </w:rPr>
              <w:t>60</w:t>
            </w:r>
            <w:r>
              <w:rPr>
                <w:rFonts w:hint="default" w:ascii="Nimbus Roman No9 L" w:hAnsi="Nimbus Roman No9 L" w:eastAsia="方正仿宋_GBK" w:cs="Nimbus Roman No9 L"/>
                <w:sz w:val="28"/>
                <w:szCs w:val="36"/>
                <w:lang w:val="en" w:eastAsia="zh-CN"/>
              </w:rPr>
              <w:t>人以上，座次安排合理，现场logo、活动主画面、签到处、背景墙、音响灯光等其它场景布置策划充分，整体氛围良好得</w:t>
            </w:r>
            <w:r>
              <w:rPr>
                <w:rFonts w:hint="default" w:ascii="Nimbus Roman No9 L" w:hAnsi="Nimbus Roman No9 L" w:eastAsia="方正仿宋_GBK" w:cs="Nimbus Roman No9 L"/>
                <w:sz w:val="28"/>
                <w:szCs w:val="36"/>
                <w:lang w:val="en-US" w:eastAsia="zh-CN"/>
              </w:rPr>
              <w:t>30—35</w:t>
            </w:r>
            <w:r>
              <w:rPr>
                <w:rFonts w:hint="default" w:ascii="Nimbus Roman No9 L" w:hAnsi="Nimbus Roman No9 L" w:eastAsia="方正仿宋_GBK" w:cs="Nimbus Roman No9 L"/>
                <w:sz w:val="28"/>
                <w:szCs w:val="36"/>
                <w:lang w:val="en" w:eastAsia="zh-CN"/>
              </w:rPr>
              <w:t>分；</w:t>
            </w:r>
          </w:p>
        </w:tc>
      </w:tr>
      <w:tr w14:paraId="41B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2140" w:type="dxa"/>
            <w:noWrap w:val="0"/>
            <w:vAlign w:val="center"/>
          </w:tcPr>
          <w:p w14:paraId="2F4830F0">
            <w:pPr>
              <w:spacing w:line="720" w:lineRule="auto"/>
              <w:jc w:val="center"/>
              <w:rPr>
                <w:rFonts w:hint="default" w:ascii="Nimbus Roman No9 L" w:hAnsi="Nimbus Roman No9 L" w:eastAsia="仿宋_GB2312" w:cs="Nimbus Roman No9 L"/>
                <w:sz w:val="28"/>
                <w:szCs w:val="36"/>
                <w:lang w:val="en"/>
              </w:rPr>
            </w:pPr>
          </w:p>
        </w:tc>
        <w:tc>
          <w:tcPr>
            <w:tcW w:w="1140" w:type="dxa"/>
            <w:noWrap w:val="0"/>
            <w:vAlign w:val="center"/>
          </w:tcPr>
          <w:p w14:paraId="2D1F3997">
            <w:pPr>
              <w:spacing w:line="560" w:lineRule="exact"/>
              <w:jc w:val="center"/>
              <w:rPr>
                <w:rFonts w:hint="default" w:ascii="Nimbus Roman No9 L" w:hAnsi="Nimbus Roman No9 L" w:eastAsia="仿宋_GB2312" w:cs="Nimbus Roman No9 L"/>
                <w:sz w:val="28"/>
                <w:szCs w:val="36"/>
                <w:lang w:val="en"/>
              </w:rPr>
            </w:pPr>
          </w:p>
        </w:tc>
        <w:tc>
          <w:tcPr>
            <w:tcW w:w="10620" w:type="dxa"/>
            <w:noWrap w:val="0"/>
            <w:vAlign w:val="top"/>
          </w:tcPr>
          <w:p w14:paraId="4A03212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仿宋_GB2312" w:cs="Nimbus Roman No9 L"/>
                <w:sz w:val="28"/>
                <w:szCs w:val="36"/>
              </w:rPr>
              <w:t>2</w:t>
            </w:r>
            <w:r>
              <w:rPr>
                <w:rFonts w:hint="default" w:ascii="Nimbus Roman No9 L" w:hAnsi="Nimbus Roman No9 L" w:eastAsia="方正仿宋_GBK" w:cs="Nimbus Roman No9 L"/>
                <w:sz w:val="28"/>
                <w:szCs w:val="36"/>
                <w:lang w:val="en" w:eastAsia="zh-CN"/>
              </w:rPr>
              <w:t>.场地选择方便职工前往或提供车辆统一前往，活动场地（不限室内外）能容纳</w:t>
            </w:r>
            <w:r>
              <w:rPr>
                <w:rFonts w:hint="default" w:ascii="Nimbus Roman No9 L" w:hAnsi="Nimbus Roman No9 L" w:eastAsia="方正仿宋_GBK" w:cs="Nimbus Roman No9 L"/>
                <w:sz w:val="28"/>
                <w:szCs w:val="36"/>
                <w:lang w:val="en-US" w:eastAsia="zh-CN"/>
              </w:rPr>
              <w:t>60</w:t>
            </w:r>
            <w:r>
              <w:rPr>
                <w:rFonts w:hint="default" w:ascii="Nimbus Roman No9 L" w:hAnsi="Nimbus Roman No9 L" w:eastAsia="方正仿宋_GBK" w:cs="Nimbus Roman No9 L"/>
                <w:sz w:val="28"/>
                <w:szCs w:val="36"/>
                <w:lang w:val="en" w:eastAsia="zh-CN"/>
              </w:rPr>
              <w:t>人以上，座次安排相对合理，现场logo、活动主画面、签到处、背景墙、音响灯光等其它场景布置策划基本充分，整体氛围相对较好得</w:t>
            </w:r>
            <w:r>
              <w:rPr>
                <w:rFonts w:hint="default" w:ascii="Nimbus Roman No9 L" w:hAnsi="Nimbus Roman No9 L" w:eastAsia="方正仿宋_GBK" w:cs="Nimbus Roman No9 L"/>
                <w:sz w:val="28"/>
                <w:szCs w:val="36"/>
                <w:lang w:val="en-US" w:eastAsia="zh-CN"/>
              </w:rPr>
              <w:t>20—30</w:t>
            </w:r>
            <w:r>
              <w:rPr>
                <w:rFonts w:hint="default" w:ascii="Nimbus Roman No9 L" w:hAnsi="Nimbus Roman No9 L" w:eastAsia="方正仿宋_GBK" w:cs="Nimbus Roman No9 L"/>
                <w:sz w:val="28"/>
                <w:szCs w:val="36"/>
                <w:lang w:val="en" w:eastAsia="zh-CN"/>
              </w:rPr>
              <w:t>分；</w:t>
            </w:r>
          </w:p>
          <w:p w14:paraId="539D255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3.场地选择方便职工前往或提供车辆统一前往，活动场地（不限室内外）能容纳</w:t>
            </w:r>
            <w:r>
              <w:rPr>
                <w:rFonts w:hint="default" w:ascii="Nimbus Roman No9 L" w:hAnsi="Nimbus Roman No9 L" w:eastAsia="方正仿宋_GBK" w:cs="Nimbus Roman No9 L"/>
                <w:sz w:val="28"/>
                <w:szCs w:val="36"/>
                <w:lang w:val="en-US" w:eastAsia="zh-CN"/>
              </w:rPr>
              <w:t>60</w:t>
            </w:r>
            <w:r>
              <w:rPr>
                <w:rFonts w:hint="default" w:ascii="Nimbus Roman No9 L" w:hAnsi="Nimbus Roman No9 L" w:eastAsia="方正仿宋_GBK" w:cs="Nimbus Roman No9 L"/>
                <w:sz w:val="28"/>
                <w:szCs w:val="36"/>
                <w:lang w:val="en" w:eastAsia="zh-CN"/>
              </w:rPr>
              <w:t>人以上，未体现座次安排或座次安排不合理，现场logo、活动主画面、签到处、背景墙、音响灯光等其它场景布置策划不充分得</w:t>
            </w:r>
            <w:r>
              <w:rPr>
                <w:rFonts w:hint="default" w:ascii="Nimbus Roman No9 L" w:hAnsi="Nimbus Roman No9 L" w:eastAsia="方正仿宋_GBK" w:cs="Nimbus Roman No9 L"/>
                <w:sz w:val="28"/>
                <w:szCs w:val="36"/>
                <w:lang w:val="en-US" w:eastAsia="zh-CN"/>
              </w:rPr>
              <w:t>10—20分</w:t>
            </w:r>
            <w:r>
              <w:rPr>
                <w:rFonts w:hint="default" w:ascii="Nimbus Roman No9 L" w:hAnsi="Nimbus Roman No9 L" w:eastAsia="方正仿宋_GBK" w:cs="Nimbus Roman No9 L"/>
                <w:sz w:val="28"/>
                <w:szCs w:val="36"/>
                <w:lang w:val="en" w:eastAsia="zh-CN"/>
              </w:rPr>
              <w:t>；</w:t>
            </w:r>
          </w:p>
          <w:p w14:paraId="09CE8ED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仿宋_GB2312" w:cs="Nimbus Roman No9 L"/>
                <w:sz w:val="28"/>
                <w:szCs w:val="36"/>
              </w:rPr>
            </w:pPr>
            <w:r>
              <w:rPr>
                <w:rFonts w:hint="default" w:ascii="Nimbus Roman No9 L" w:hAnsi="Nimbus Roman No9 L" w:eastAsia="方正仿宋_GBK" w:cs="Nimbus Roman No9 L"/>
                <w:sz w:val="28"/>
                <w:szCs w:val="36"/>
                <w:lang w:val="en" w:eastAsia="zh-CN"/>
              </w:rPr>
              <w:t>4.未提供相应内容的不得分。</w:t>
            </w:r>
          </w:p>
        </w:tc>
      </w:tr>
      <w:tr w14:paraId="32B0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2140" w:type="dxa"/>
            <w:noWrap w:val="0"/>
            <w:vAlign w:val="center"/>
          </w:tcPr>
          <w:p w14:paraId="2372D1E1">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信誉</w:t>
            </w:r>
          </w:p>
          <w:p w14:paraId="15FE92DD">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业绩</w:t>
            </w:r>
          </w:p>
        </w:tc>
        <w:tc>
          <w:tcPr>
            <w:tcW w:w="1140" w:type="dxa"/>
            <w:noWrap w:val="0"/>
            <w:vAlign w:val="center"/>
          </w:tcPr>
          <w:p w14:paraId="70E199DE">
            <w:pPr>
              <w:spacing w:line="720" w:lineRule="auto"/>
              <w:jc w:val="center"/>
              <w:rPr>
                <w:rFonts w:hint="default" w:ascii="Nimbus Roman No9 L" w:hAnsi="Nimbus Roman No9 L" w:eastAsia="仿宋_GB2312" w:cs="Nimbus Roman No9 L"/>
                <w:sz w:val="28"/>
                <w:szCs w:val="36"/>
              </w:rPr>
            </w:pPr>
            <w:r>
              <w:rPr>
                <w:rFonts w:hint="default" w:ascii="Nimbus Roman No9 L" w:hAnsi="Nimbus Roman No9 L" w:eastAsia="仿宋_GB2312" w:cs="Nimbus Roman No9 L"/>
                <w:sz w:val="28"/>
                <w:szCs w:val="36"/>
              </w:rPr>
              <w:t>15</w:t>
            </w:r>
          </w:p>
        </w:tc>
        <w:tc>
          <w:tcPr>
            <w:tcW w:w="10620" w:type="dxa"/>
            <w:noWrap w:val="0"/>
            <w:vAlign w:val="top"/>
          </w:tcPr>
          <w:p w14:paraId="716859F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sz w:val="28"/>
                <w:szCs w:val="36"/>
                <w:lang w:val="en" w:eastAsia="zh-CN"/>
              </w:rPr>
            </w:pPr>
            <w:r>
              <w:rPr>
                <w:rFonts w:hint="default" w:ascii="Nimbus Roman No9 L" w:hAnsi="Nimbus Roman No9 L" w:eastAsia="方正仿宋_GBK" w:cs="Nimbus Roman No9 L"/>
                <w:sz w:val="28"/>
                <w:szCs w:val="36"/>
                <w:lang w:val="en" w:eastAsia="zh-CN"/>
              </w:rPr>
              <w:t>投标人提供承办相关活动业绩或获得过表彰或奖项的，提供一项得5分，本项最高得</w:t>
            </w:r>
            <w:r>
              <w:rPr>
                <w:rFonts w:hint="default" w:ascii="Nimbus Roman No9 L" w:hAnsi="Nimbus Roman No9 L" w:eastAsia="方正仿宋_GBK" w:cs="Nimbus Roman No9 L"/>
                <w:sz w:val="28"/>
                <w:szCs w:val="36"/>
                <w:lang w:val="en-US" w:eastAsia="zh-CN"/>
              </w:rPr>
              <w:t>15</w:t>
            </w:r>
            <w:r>
              <w:rPr>
                <w:rFonts w:hint="default" w:ascii="Nimbus Roman No9 L" w:hAnsi="Nimbus Roman No9 L" w:eastAsia="方正仿宋_GBK" w:cs="Nimbus Roman No9 L"/>
                <w:sz w:val="28"/>
                <w:szCs w:val="36"/>
                <w:lang w:val="en" w:eastAsia="zh-CN"/>
              </w:rPr>
              <w:t>分。</w:t>
            </w:r>
          </w:p>
          <w:p w14:paraId="5EEC1C9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Nimbus Roman No9 L" w:hAnsi="Nimbus Roman No9 L" w:eastAsia="仿宋_GB2312" w:cs="Nimbus Roman No9 L"/>
                <w:sz w:val="28"/>
                <w:szCs w:val="36"/>
                <w:lang w:val="en"/>
              </w:rPr>
            </w:pPr>
            <w:r>
              <w:rPr>
                <w:rFonts w:hint="default" w:ascii="Nimbus Roman No9 L" w:hAnsi="Nimbus Roman No9 L" w:eastAsia="方正仿宋_GBK" w:cs="Nimbus Roman No9 L"/>
                <w:sz w:val="28"/>
                <w:szCs w:val="36"/>
                <w:lang w:val="en" w:eastAsia="zh-CN"/>
              </w:rPr>
              <w:t>备注：该项需提供合同扫描件或其它能证明承办活动的材料，以及荣誉证书、通报文件等证明获奖情况。</w:t>
            </w:r>
          </w:p>
        </w:tc>
      </w:tr>
      <w:tr w14:paraId="6CCC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40" w:type="dxa"/>
            <w:noWrap w:val="0"/>
            <w:vAlign w:val="center"/>
          </w:tcPr>
          <w:p w14:paraId="653D737D">
            <w:pPr>
              <w:spacing w:line="720" w:lineRule="auto"/>
              <w:jc w:val="center"/>
              <w:rPr>
                <w:rFonts w:hint="default" w:ascii="Nimbus Roman No9 L" w:hAnsi="Nimbus Roman No9 L" w:eastAsia="仿宋_GB2312" w:cs="Nimbus Roman No9 L"/>
                <w:sz w:val="28"/>
                <w:szCs w:val="36"/>
                <w:lang w:val="en"/>
              </w:rPr>
            </w:pPr>
            <w:r>
              <w:rPr>
                <w:rFonts w:hint="default" w:ascii="Nimbus Roman No9 L" w:hAnsi="Nimbus Roman No9 L" w:eastAsia="仿宋_GB2312" w:cs="Nimbus Roman No9 L"/>
                <w:sz w:val="28"/>
                <w:szCs w:val="36"/>
                <w:lang w:val="en"/>
              </w:rPr>
              <w:t>价格</w:t>
            </w:r>
          </w:p>
        </w:tc>
        <w:tc>
          <w:tcPr>
            <w:tcW w:w="1140" w:type="dxa"/>
            <w:noWrap w:val="0"/>
            <w:vAlign w:val="center"/>
          </w:tcPr>
          <w:p w14:paraId="32336D05">
            <w:pPr>
              <w:spacing w:line="720" w:lineRule="auto"/>
              <w:jc w:val="center"/>
              <w:rPr>
                <w:rFonts w:hint="default" w:ascii="Nimbus Roman No9 L" w:hAnsi="Nimbus Roman No9 L" w:eastAsia="仿宋_GB2312" w:cs="Nimbus Roman No9 L"/>
                <w:sz w:val="28"/>
                <w:szCs w:val="36"/>
              </w:rPr>
            </w:pPr>
            <w:r>
              <w:rPr>
                <w:rFonts w:hint="default" w:ascii="Nimbus Roman No9 L" w:hAnsi="Nimbus Roman No9 L" w:eastAsia="仿宋_GB2312" w:cs="Nimbus Roman No9 L"/>
                <w:sz w:val="28"/>
                <w:szCs w:val="36"/>
                <w:lang w:val="en"/>
              </w:rPr>
              <w:t>10</w:t>
            </w:r>
          </w:p>
        </w:tc>
        <w:tc>
          <w:tcPr>
            <w:tcW w:w="10620" w:type="dxa"/>
            <w:noWrap w:val="0"/>
            <w:vAlign w:val="top"/>
          </w:tcPr>
          <w:p w14:paraId="02D15970">
            <w:pPr>
              <w:spacing w:line="560" w:lineRule="exact"/>
              <w:rPr>
                <w:rFonts w:hint="default" w:ascii="Nimbus Roman No9 L" w:hAnsi="Nimbus Roman No9 L" w:eastAsia="仿宋_GB2312" w:cs="Nimbus Roman No9 L"/>
                <w:sz w:val="28"/>
                <w:szCs w:val="36"/>
                <w:lang w:val="en"/>
              </w:rPr>
            </w:pPr>
            <w:r>
              <w:rPr>
                <w:rFonts w:hint="default" w:ascii="Nimbus Roman No9 L" w:hAnsi="Nimbus Roman No9 L" w:eastAsia="方正仿宋_GBK" w:cs="Nimbus Roman No9 L"/>
                <w:sz w:val="28"/>
                <w:szCs w:val="36"/>
                <w:lang w:val="en" w:eastAsia="zh-CN"/>
              </w:rPr>
              <w:t>价格分统一采用低价优先法，即满足招标文件要求且投标价格最低的投标供应商的报价为磋商基准单价，其价格分为满分10分。其他投标供应商的价格分统一按照下列公式计算：磋商报价得分＝（磋商基准价/最后磋商报价）×10％×100</w:t>
            </w:r>
          </w:p>
        </w:tc>
      </w:tr>
    </w:tbl>
    <w:p w14:paraId="11CE3FC5">
      <w:pPr>
        <w:jc w:val="both"/>
        <w:rPr>
          <w:rFonts w:hint="eastAsia"/>
          <w:sz w:val="28"/>
          <w:szCs w:val="36"/>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D7AE728-F2DC-4733-A68B-284BEE3F7CEB}"/>
  </w:font>
  <w:font w:name="方正仿宋_GBK">
    <w:panose1 w:val="02000000000000000000"/>
    <w:charset w:val="86"/>
    <w:family w:val="auto"/>
    <w:pitch w:val="default"/>
    <w:sig w:usb0="A00002BF" w:usb1="38CF7CFA" w:usb2="00082016" w:usb3="00000000" w:csb0="00040001" w:csb1="00000000"/>
    <w:embedRegular r:id="rId2" w:fontKey="{0F07CFB5-FB15-404C-85F5-3EBA1C5F4B89}"/>
  </w:font>
  <w:font w:name="方正小标宋简体">
    <w:panose1 w:val="02010600010101010101"/>
    <w:charset w:val="86"/>
    <w:family w:val="auto"/>
    <w:pitch w:val="default"/>
    <w:sig w:usb0="00000001" w:usb1="080E0000" w:usb2="00000000" w:usb3="00000000" w:csb0="00040000" w:csb1="00000000"/>
    <w:embedRegular r:id="rId3" w:fontKey="{ADDAF824-FCC8-43F3-B9AF-D45246F42594}"/>
  </w:font>
  <w:font w:name="方正楷体_GBK">
    <w:panose1 w:val="02000000000000000000"/>
    <w:charset w:val="86"/>
    <w:family w:val="auto"/>
    <w:pitch w:val="default"/>
    <w:sig w:usb0="800002BF" w:usb1="38CF7CFA" w:usb2="00000016" w:usb3="00000000" w:csb0="00040000" w:csb1="00000000"/>
  </w:font>
  <w:font w:name="Nimbus Roman No9 L">
    <w:altName w:val="方正公文仿宋"/>
    <w:panose1 w:val="00000000000000000000"/>
    <w:charset w:val="00"/>
    <w:family w:val="auto"/>
    <w:pitch w:val="default"/>
    <w:sig w:usb0="00000000" w:usb1="00000000" w:usb2="00000000" w:usb3="00000000" w:csb0="00040001" w:csb1="00000000"/>
    <w:embedRegular r:id="rId4" w:fontKey="{028BEE86-29BA-4BAC-BA5C-77AD78000B30}"/>
  </w:font>
  <w:font w:name="仿宋_GB2312">
    <w:altName w:val="仿宋"/>
    <w:panose1 w:val="02010609030101010101"/>
    <w:charset w:val="86"/>
    <w:family w:val="auto"/>
    <w:pitch w:val="default"/>
    <w:sig w:usb0="00000001" w:usb1="080E0000" w:usb2="00000000" w:usb3="00000000" w:csb0="00040000" w:csb1="00000000"/>
    <w:embedRegular r:id="rId5" w:fontKey="{4C7A138F-6314-4F63-BA18-369E722931EB}"/>
  </w:font>
  <w:font w:name="仿宋">
    <w:panose1 w:val="02010609060101010101"/>
    <w:charset w:val="86"/>
    <w:family w:val="auto"/>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45008F7"/>
    <w:rsid w:val="4DEB28B2"/>
    <w:rsid w:val="76B7DD45"/>
    <w:rsid w:val="7FDE958E"/>
    <w:rsid w:val="B7FE6DB0"/>
    <w:rsid w:val="FFEF8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customStyle="1" w:styleId="2">
    <w:name w:val="正文-公1"/>
    <w:basedOn w:val="1"/>
    <w:qFormat/>
    <w:uiPriority w:val="99"/>
    <w:pPr>
      <w:spacing w:line="560" w:lineRule="exact"/>
      <w:ind w:firstLine="200" w:firstLineChars="200"/>
    </w:pPr>
    <w:rPr>
      <w:color w:val="00000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820</Characters>
  <Lines>0</Lines>
  <Paragraphs>0</Paragraphs>
  <TotalTime>192.333333333333</TotalTime>
  <ScaleCrop>false</ScaleCrop>
  <LinksUpToDate>false</LinksUpToDate>
  <CharactersWithSpaces>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苗该该</cp:lastModifiedBy>
  <cp:lastPrinted>2025-04-27T14:32:47Z</cp:lastPrinted>
  <dcterms:modified xsi:type="dcterms:W3CDTF">2025-04-27T06:55:42Z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eyJoZGlkIjoiYTc3YmNkMDBlNDVlYjFlOWY0ZjcwMzVkYzQzYTY4YWIiLCJ1c2VySWQiOiI1NDQ1NDI5ODYifQ==</vt:lpwstr>
  </property>
  <property fmtid="{D5CDD505-2E9C-101B-9397-08002B2CF9AE}" pid="4" name="ICV">
    <vt:lpwstr>022968A7F69A42BABDED33BF70E5AE30_13</vt:lpwstr>
  </property>
</Properties>
</file>